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675" w:rsidRPr="00126675" w:rsidRDefault="00126675" w:rsidP="00253114">
      <w:pPr>
        <w:spacing w:before="100" w:beforeAutospacing="1" w:after="100" w:afterAutospacing="1" w:line="480" w:lineRule="auto"/>
        <w:ind w:firstLine="284"/>
        <w:rPr>
          <w:rFonts w:ascii="Times New Roman" w:hAnsi="Times New Roman" w:cs="Times New Roman"/>
          <w:sz w:val="24"/>
          <w:szCs w:val="24"/>
        </w:rPr>
      </w:pPr>
    </w:p>
    <w:p w:rsidR="00126675" w:rsidRPr="00126675" w:rsidRDefault="00126675" w:rsidP="00253114">
      <w:pPr>
        <w:spacing w:before="100" w:beforeAutospacing="1" w:after="100" w:afterAutospacing="1" w:line="480" w:lineRule="auto"/>
        <w:ind w:firstLine="284"/>
        <w:rPr>
          <w:rFonts w:ascii="Times New Roman" w:hAnsi="Times New Roman" w:cs="Times New Roman"/>
          <w:sz w:val="24"/>
          <w:szCs w:val="24"/>
        </w:rPr>
      </w:pPr>
    </w:p>
    <w:p w:rsidR="00126675" w:rsidRPr="00126675" w:rsidRDefault="00126675" w:rsidP="00253114">
      <w:pPr>
        <w:spacing w:before="100" w:beforeAutospacing="1" w:after="100" w:afterAutospacing="1" w:line="480" w:lineRule="auto"/>
        <w:ind w:firstLine="284"/>
        <w:rPr>
          <w:rFonts w:ascii="Times New Roman" w:hAnsi="Times New Roman" w:cs="Times New Roman"/>
          <w:sz w:val="24"/>
          <w:szCs w:val="24"/>
        </w:rPr>
      </w:pPr>
    </w:p>
    <w:p w:rsidR="00126675" w:rsidRPr="00126675" w:rsidRDefault="00126675" w:rsidP="00253114">
      <w:pPr>
        <w:spacing w:before="100" w:beforeAutospacing="1" w:after="100" w:afterAutospacing="1" w:line="480" w:lineRule="auto"/>
        <w:ind w:firstLine="284"/>
        <w:rPr>
          <w:rFonts w:ascii="Times New Roman" w:hAnsi="Times New Roman" w:cs="Times New Roman"/>
          <w:sz w:val="24"/>
          <w:szCs w:val="24"/>
        </w:rPr>
      </w:pPr>
    </w:p>
    <w:p w:rsidR="00126675" w:rsidRPr="00126675" w:rsidRDefault="00126675" w:rsidP="00253114">
      <w:pPr>
        <w:spacing w:before="100" w:beforeAutospacing="1" w:after="100" w:afterAutospacing="1" w:line="480" w:lineRule="auto"/>
        <w:ind w:firstLine="284"/>
        <w:rPr>
          <w:rFonts w:ascii="Times New Roman" w:hAnsi="Times New Roman" w:cs="Times New Roman"/>
          <w:sz w:val="24"/>
          <w:szCs w:val="24"/>
        </w:rPr>
      </w:pPr>
    </w:p>
    <w:p w:rsidR="00126675" w:rsidRPr="00126675" w:rsidRDefault="00126675" w:rsidP="00126675">
      <w:pPr>
        <w:spacing w:before="100" w:beforeAutospacing="1" w:after="100" w:afterAutospacing="1" w:line="480" w:lineRule="auto"/>
        <w:ind w:firstLine="284"/>
        <w:jc w:val="center"/>
        <w:rPr>
          <w:rFonts w:ascii="Times New Roman" w:hAnsi="Times New Roman" w:cs="Times New Roman"/>
          <w:sz w:val="24"/>
          <w:szCs w:val="24"/>
        </w:rPr>
      </w:pPr>
      <w:r w:rsidRPr="00126675">
        <w:rPr>
          <w:rFonts w:ascii="Times New Roman" w:hAnsi="Times New Roman" w:cs="Times New Roman"/>
          <w:sz w:val="24"/>
          <w:szCs w:val="24"/>
        </w:rPr>
        <w:t>Name</w:t>
      </w:r>
    </w:p>
    <w:p w:rsidR="00126675" w:rsidRPr="00126675" w:rsidRDefault="00126675" w:rsidP="00126675">
      <w:pPr>
        <w:spacing w:before="100" w:beforeAutospacing="1" w:after="100" w:afterAutospacing="1" w:line="480" w:lineRule="auto"/>
        <w:ind w:firstLine="284"/>
        <w:jc w:val="center"/>
        <w:rPr>
          <w:rFonts w:ascii="Times New Roman" w:hAnsi="Times New Roman" w:cs="Times New Roman"/>
          <w:sz w:val="24"/>
          <w:szCs w:val="24"/>
        </w:rPr>
      </w:pPr>
      <w:r w:rsidRPr="00126675">
        <w:rPr>
          <w:rFonts w:ascii="Times New Roman" w:hAnsi="Times New Roman" w:cs="Times New Roman"/>
          <w:sz w:val="24"/>
          <w:szCs w:val="24"/>
        </w:rPr>
        <w:t>Institution</w:t>
      </w:r>
    </w:p>
    <w:p w:rsidR="00126675" w:rsidRPr="00126675" w:rsidRDefault="00126675" w:rsidP="00126675">
      <w:pPr>
        <w:spacing w:before="100" w:beforeAutospacing="1" w:after="100" w:afterAutospacing="1" w:line="480" w:lineRule="auto"/>
        <w:ind w:firstLine="284"/>
        <w:jc w:val="center"/>
        <w:rPr>
          <w:rFonts w:ascii="Times New Roman" w:hAnsi="Times New Roman" w:cs="Times New Roman"/>
          <w:sz w:val="24"/>
          <w:szCs w:val="24"/>
        </w:rPr>
      </w:pPr>
      <w:r w:rsidRPr="00126675">
        <w:rPr>
          <w:rFonts w:ascii="Times New Roman" w:hAnsi="Times New Roman" w:cs="Times New Roman"/>
          <w:sz w:val="24"/>
          <w:szCs w:val="24"/>
        </w:rPr>
        <w:t>Date</w:t>
      </w:r>
    </w:p>
    <w:p w:rsidR="00126675" w:rsidRPr="00126675" w:rsidRDefault="00126675" w:rsidP="00126675">
      <w:pPr>
        <w:spacing w:before="100" w:beforeAutospacing="1" w:after="100" w:afterAutospacing="1" w:line="480" w:lineRule="auto"/>
        <w:ind w:firstLine="284"/>
        <w:jc w:val="center"/>
        <w:rPr>
          <w:rFonts w:ascii="Times New Roman" w:hAnsi="Times New Roman" w:cs="Times New Roman"/>
          <w:sz w:val="24"/>
          <w:szCs w:val="24"/>
        </w:rPr>
      </w:pPr>
      <w:r w:rsidRPr="00126675">
        <w:rPr>
          <w:rFonts w:ascii="Times New Roman" w:hAnsi="Times New Roman" w:cs="Times New Roman"/>
          <w:sz w:val="24"/>
          <w:szCs w:val="24"/>
        </w:rPr>
        <w:t>Chevron Case</w:t>
      </w:r>
    </w:p>
    <w:p w:rsidR="00126675" w:rsidRPr="00126675" w:rsidRDefault="00126675" w:rsidP="00126675">
      <w:pPr>
        <w:spacing w:before="100" w:beforeAutospacing="1" w:after="100" w:afterAutospacing="1" w:line="480" w:lineRule="auto"/>
        <w:ind w:firstLine="284"/>
        <w:jc w:val="center"/>
        <w:rPr>
          <w:rFonts w:ascii="Times New Roman" w:hAnsi="Times New Roman" w:cs="Times New Roman"/>
          <w:sz w:val="24"/>
          <w:szCs w:val="24"/>
        </w:rPr>
      </w:pPr>
    </w:p>
    <w:p w:rsidR="00126675" w:rsidRPr="00126675" w:rsidRDefault="00126675" w:rsidP="00126675">
      <w:pPr>
        <w:spacing w:before="100" w:beforeAutospacing="1" w:after="100" w:afterAutospacing="1" w:line="480" w:lineRule="auto"/>
        <w:ind w:firstLine="284"/>
        <w:jc w:val="center"/>
        <w:rPr>
          <w:rFonts w:ascii="Times New Roman" w:hAnsi="Times New Roman" w:cs="Times New Roman"/>
          <w:sz w:val="24"/>
          <w:szCs w:val="24"/>
        </w:rPr>
      </w:pPr>
    </w:p>
    <w:p w:rsidR="00126675" w:rsidRPr="00126675" w:rsidRDefault="00126675" w:rsidP="00126675">
      <w:pPr>
        <w:spacing w:before="100" w:beforeAutospacing="1" w:after="100" w:afterAutospacing="1" w:line="480" w:lineRule="auto"/>
        <w:ind w:firstLine="284"/>
        <w:jc w:val="center"/>
        <w:rPr>
          <w:rFonts w:ascii="Times New Roman" w:hAnsi="Times New Roman" w:cs="Times New Roman"/>
          <w:sz w:val="24"/>
          <w:szCs w:val="24"/>
        </w:rPr>
      </w:pPr>
    </w:p>
    <w:p w:rsidR="00126675" w:rsidRPr="00126675" w:rsidRDefault="00126675" w:rsidP="00126675">
      <w:pPr>
        <w:spacing w:before="100" w:beforeAutospacing="1" w:after="100" w:afterAutospacing="1" w:line="480" w:lineRule="auto"/>
        <w:ind w:firstLine="284"/>
        <w:jc w:val="center"/>
        <w:rPr>
          <w:rFonts w:ascii="Times New Roman" w:hAnsi="Times New Roman" w:cs="Times New Roman"/>
          <w:sz w:val="24"/>
          <w:szCs w:val="24"/>
        </w:rPr>
      </w:pPr>
    </w:p>
    <w:p w:rsidR="00126675" w:rsidRPr="00126675" w:rsidRDefault="00126675" w:rsidP="00126675">
      <w:pPr>
        <w:spacing w:before="100" w:beforeAutospacing="1" w:after="100" w:afterAutospacing="1" w:line="480" w:lineRule="auto"/>
        <w:ind w:firstLine="284"/>
        <w:jc w:val="center"/>
        <w:rPr>
          <w:rFonts w:ascii="Times New Roman" w:hAnsi="Times New Roman" w:cs="Times New Roman"/>
          <w:sz w:val="24"/>
          <w:szCs w:val="24"/>
        </w:rPr>
      </w:pPr>
    </w:p>
    <w:p w:rsidR="00126675" w:rsidRPr="00126675" w:rsidRDefault="00126675" w:rsidP="00126675">
      <w:pPr>
        <w:spacing w:before="100" w:beforeAutospacing="1" w:after="100" w:afterAutospacing="1" w:line="480" w:lineRule="auto"/>
        <w:ind w:firstLine="284"/>
        <w:jc w:val="center"/>
        <w:rPr>
          <w:rFonts w:ascii="Times New Roman" w:hAnsi="Times New Roman" w:cs="Times New Roman"/>
          <w:sz w:val="24"/>
          <w:szCs w:val="24"/>
        </w:rPr>
      </w:pPr>
    </w:p>
    <w:p w:rsidR="00126675" w:rsidRPr="00126675" w:rsidRDefault="00126675" w:rsidP="00126675">
      <w:pPr>
        <w:spacing w:before="100" w:beforeAutospacing="1" w:after="100" w:afterAutospacing="1" w:line="480" w:lineRule="auto"/>
        <w:ind w:firstLine="284"/>
        <w:jc w:val="center"/>
        <w:rPr>
          <w:rFonts w:ascii="Times New Roman" w:hAnsi="Times New Roman" w:cs="Times New Roman"/>
          <w:sz w:val="24"/>
          <w:szCs w:val="24"/>
        </w:rPr>
      </w:pPr>
    </w:p>
    <w:p w:rsidR="00126675" w:rsidRDefault="00126675" w:rsidP="00126675">
      <w:pPr>
        <w:spacing w:before="100" w:beforeAutospacing="1" w:after="100" w:afterAutospacing="1" w:line="480" w:lineRule="auto"/>
        <w:rPr>
          <w:rFonts w:ascii="Times New Roman" w:hAnsi="Times New Roman" w:cs="Times New Roman"/>
          <w:sz w:val="24"/>
          <w:szCs w:val="24"/>
        </w:rPr>
      </w:pPr>
    </w:p>
    <w:p w:rsidR="00126675" w:rsidRPr="00126675" w:rsidRDefault="00126675" w:rsidP="0012667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126675">
        <w:rPr>
          <w:rFonts w:ascii="Times New Roman" w:hAnsi="Times New Roman" w:cs="Times New Roman"/>
          <w:sz w:val="24"/>
          <w:szCs w:val="24"/>
        </w:rPr>
        <w:t>The Chevron case was a landmark case between Chevron USA Inc. Vs. Natural Resources Defence Council, Inc. in which the supreme court of the United States set forth the legal test for determining whether to deference granting to an agency of the government. This was in order to interpret a statue that the government administers. The reason behind the case was that the Clean Air Act was amended by the Congress to address states that had failed to attain the established air quality standards by Environmental Protection Agency (EPA). A new definition was adopted by EPA which allowed getting permits for new equipment by an existing plant that did not meet standards. This regulation was challenged by NRDC in federal court and since Chevron was an affected party it appealed the lower decision of the court since it ruled in NRDC favour (Lubbers et al, 2006)</w:t>
      </w:r>
    </w:p>
    <w:p w:rsidR="00126675" w:rsidRPr="00126675" w:rsidRDefault="00126675" w:rsidP="00126675">
      <w:pPr>
        <w:spacing w:before="100" w:beforeAutospacing="1" w:after="100" w:afterAutospacing="1" w:line="480" w:lineRule="auto"/>
        <w:ind w:firstLine="720"/>
        <w:rPr>
          <w:rFonts w:ascii="Times New Roman" w:hAnsi="Times New Roman" w:cs="Times New Roman"/>
          <w:sz w:val="24"/>
          <w:szCs w:val="24"/>
        </w:rPr>
      </w:pPr>
      <w:r w:rsidRPr="00126675">
        <w:rPr>
          <w:rFonts w:ascii="Times New Roman" w:hAnsi="Times New Roman" w:cs="Times New Roman"/>
          <w:sz w:val="24"/>
          <w:szCs w:val="24"/>
        </w:rPr>
        <w:t>The Chevron case, therefore, changed how the Court’s review federal agency discretion actions. Therefore in the Chevron case what was resulted was acceptance of reasonable interpretations by an administrative agency of a statute even if there might be favouring of different interpretations by the judges. This is because there is more accountability democratically by agencies than courts and agency has the main responsibility for statute implementing. The Supreme Court therefore for reviewing an agency-administered statue created an agency interpretation. This is because the case involved the EPA’s rather an interpretation technically. The Supreme Court ended up using one of the most principles that are influential in administrative law. “To agency interpretations of authorizing statutes, the court deference granted executive branch action in some manner.” (Lubbers et al, 2006)</w:t>
      </w:r>
    </w:p>
    <w:p w:rsidR="00126675" w:rsidRPr="00126675" w:rsidRDefault="00126675" w:rsidP="00126675">
      <w:pPr>
        <w:spacing w:before="100" w:beforeAutospacing="1" w:after="100" w:afterAutospacing="1" w:line="480" w:lineRule="auto"/>
        <w:rPr>
          <w:rFonts w:ascii="Times New Roman" w:hAnsi="Times New Roman" w:cs="Times New Roman"/>
          <w:sz w:val="24"/>
          <w:szCs w:val="24"/>
        </w:rPr>
      </w:pPr>
    </w:p>
    <w:p w:rsidR="00126675" w:rsidRDefault="00126675" w:rsidP="00126675">
      <w:pPr>
        <w:spacing w:before="100" w:beforeAutospacing="1" w:after="100" w:afterAutospacing="1" w:line="480" w:lineRule="auto"/>
        <w:rPr>
          <w:rFonts w:ascii="Times New Roman" w:hAnsi="Times New Roman" w:cs="Times New Roman"/>
          <w:sz w:val="24"/>
          <w:szCs w:val="24"/>
        </w:rPr>
      </w:pPr>
    </w:p>
    <w:p w:rsidR="00126675" w:rsidRPr="00126675" w:rsidRDefault="00126675" w:rsidP="00126675">
      <w:pPr>
        <w:spacing w:before="100" w:beforeAutospacing="1" w:after="100" w:afterAutospacing="1" w:line="480" w:lineRule="auto"/>
        <w:rPr>
          <w:rFonts w:ascii="Times New Roman" w:hAnsi="Times New Roman" w:cs="Times New Roman"/>
          <w:sz w:val="24"/>
          <w:szCs w:val="24"/>
        </w:rPr>
      </w:pPr>
      <w:bookmarkStart w:id="0" w:name="_GoBack"/>
      <w:bookmarkEnd w:id="0"/>
    </w:p>
    <w:p w:rsidR="00126675" w:rsidRPr="00126675" w:rsidRDefault="00126675" w:rsidP="00126675">
      <w:pPr>
        <w:spacing w:before="100" w:beforeAutospacing="1" w:after="100" w:afterAutospacing="1" w:line="480" w:lineRule="auto"/>
        <w:jc w:val="center"/>
        <w:rPr>
          <w:rFonts w:ascii="Times New Roman" w:hAnsi="Times New Roman" w:cs="Times New Roman"/>
          <w:sz w:val="24"/>
          <w:szCs w:val="24"/>
        </w:rPr>
      </w:pPr>
      <w:r w:rsidRPr="00126675">
        <w:rPr>
          <w:rFonts w:ascii="Times New Roman" w:hAnsi="Times New Roman" w:cs="Times New Roman"/>
          <w:sz w:val="24"/>
          <w:szCs w:val="24"/>
        </w:rPr>
        <w:lastRenderedPageBreak/>
        <w:t>References</w:t>
      </w:r>
    </w:p>
    <w:p w:rsidR="00126675" w:rsidRPr="00126675" w:rsidRDefault="00126675" w:rsidP="00126675">
      <w:pPr>
        <w:spacing w:before="100" w:beforeAutospacing="1" w:after="100" w:afterAutospacing="1" w:line="480" w:lineRule="auto"/>
        <w:rPr>
          <w:rFonts w:ascii="Times New Roman" w:hAnsi="Times New Roman" w:cs="Times New Roman"/>
          <w:sz w:val="24"/>
          <w:szCs w:val="24"/>
        </w:rPr>
      </w:pPr>
      <w:r w:rsidRPr="00126675">
        <w:rPr>
          <w:rFonts w:ascii="Times New Roman" w:eastAsia="Arial Unicode MS" w:hAnsi="Times New Roman" w:cs="Times New Roman"/>
          <w:color w:val="000000"/>
          <w:sz w:val="24"/>
          <w:szCs w:val="24"/>
          <w:shd w:val="clear" w:color="auto" w:fill="FFFFFF"/>
        </w:rPr>
        <w:t>Lubbers, J. S., American Bar Association., &amp; American Bar Association. (2006). </w:t>
      </w:r>
      <w:r w:rsidRPr="00126675">
        <w:rPr>
          <w:rFonts w:ascii="Times New Roman" w:eastAsia="Arial Unicode MS" w:hAnsi="Times New Roman" w:cs="Times New Roman"/>
          <w:i/>
          <w:iCs/>
          <w:color w:val="000000"/>
          <w:sz w:val="24"/>
          <w:szCs w:val="24"/>
          <w:shd w:val="clear" w:color="auto" w:fill="FFFFFF"/>
        </w:rPr>
        <w:t>A guide to federal agency rulemaking</w:t>
      </w:r>
      <w:r w:rsidRPr="00126675">
        <w:rPr>
          <w:rFonts w:ascii="Times New Roman" w:eastAsia="Arial Unicode MS" w:hAnsi="Times New Roman" w:cs="Times New Roman"/>
          <w:color w:val="000000"/>
          <w:sz w:val="24"/>
          <w:szCs w:val="24"/>
          <w:shd w:val="clear" w:color="auto" w:fill="FFFFFF"/>
        </w:rPr>
        <w:t>. Chicago: American Bar Association.</w:t>
      </w:r>
    </w:p>
    <w:sectPr w:rsidR="00126675" w:rsidRPr="00126675" w:rsidSect="00126675">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B25" w:rsidRDefault="00B72B25" w:rsidP="00126675">
      <w:pPr>
        <w:spacing w:after="0" w:line="240" w:lineRule="auto"/>
      </w:pPr>
      <w:r>
        <w:separator/>
      </w:r>
    </w:p>
  </w:endnote>
  <w:endnote w:type="continuationSeparator" w:id="0">
    <w:p w:rsidR="00B72B25" w:rsidRDefault="00B72B25" w:rsidP="00126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B25" w:rsidRDefault="00B72B25" w:rsidP="00126675">
      <w:pPr>
        <w:spacing w:after="0" w:line="240" w:lineRule="auto"/>
      </w:pPr>
      <w:r>
        <w:separator/>
      </w:r>
    </w:p>
  </w:footnote>
  <w:footnote w:type="continuationSeparator" w:id="0">
    <w:p w:rsidR="00B72B25" w:rsidRDefault="00B72B25" w:rsidP="001266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675" w:rsidRPr="00126675" w:rsidRDefault="00126675">
    <w:pPr>
      <w:pStyle w:val="Header"/>
      <w:jc w:val="right"/>
      <w:rPr>
        <w:rFonts w:ascii="Times New Roman" w:hAnsi="Times New Roman" w:cs="Times New Roman"/>
        <w:sz w:val="24"/>
        <w:szCs w:val="24"/>
      </w:rPr>
    </w:pPr>
    <w:r w:rsidRPr="00126675">
      <w:rPr>
        <w:rFonts w:ascii="Times New Roman" w:hAnsi="Times New Roman" w:cs="Times New Roman"/>
        <w:sz w:val="24"/>
        <w:szCs w:val="24"/>
      </w:rPr>
      <w:t>CHEVRON CASE</w:t>
    </w:r>
    <w:r w:rsidRPr="00126675">
      <w:rPr>
        <w:rFonts w:ascii="Times New Roman" w:hAnsi="Times New Roman" w:cs="Times New Roman"/>
        <w:sz w:val="24"/>
        <w:szCs w:val="24"/>
      </w:rPr>
      <w:tab/>
    </w:r>
    <w:r w:rsidRPr="00126675">
      <w:rPr>
        <w:rFonts w:ascii="Times New Roman" w:hAnsi="Times New Roman" w:cs="Times New Roman"/>
        <w:sz w:val="24"/>
        <w:szCs w:val="24"/>
      </w:rPr>
      <w:tab/>
    </w:r>
    <w:sdt>
      <w:sdtPr>
        <w:rPr>
          <w:rFonts w:ascii="Times New Roman" w:hAnsi="Times New Roman" w:cs="Times New Roman"/>
          <w:sz w:val="24"/>
          <w:szCs w:val="24"/>
        </w:rPr>
        <w:id w:val="733513746"/>
        <w:docPartObj>
          <w:docPartGallery w:val="Page Numbers (Top of Page)"/>
          <w:docPartUnique/>
        </w:docPartObj>
      </w:sdtPr>
      <w:sdtEndPr>
        <w:rPr>
          <w:noProof/>
        </w:rPr>
      </w:sdtEndPr>
      <w:sdtContent>
        <w:r w:rsidRPr="00126675">
          <w:rPr>
            <w:rFonts w:ascii="Times New Roman" w:hAnsi="Times New Roman" w:cs="Times New Roman"/>
            <w:sz w:val="24"/>
            <w:szCs w:val="24"/>
          </w:rPr>
          <w:fldChar w:fldCharType="begin"/>
        </w:r>
        <w:r w:rsidRPr="00126675">
          <w:rPr>
            <w:rFonts w:ascii="Times New Roman" w:hAnsi="Times New Roman" w:cs="Times New Roman"/>
            <w:sz w:val="24"/>
            <w:szCs w:val="24"/>
          </w:rPr>
          <w:instrText xml:space="preserve"> PAGE   \* MERGEFORMAT </w:instrText>
        </w:r>
        <w:r w:rsidRPr="00126675">
          <w:rPr>
            <w:rFonts w:ascii="Times New Roman" w:hAnsi="Times New Roman" w:cs="Times New Roman"/>
            <w:sz w:val="24"/>
            <w:szCs w:val="24"/>
          </w:rPr>
          <w:fldChar w:fldCharType="separate"/>
        </w:r>
        <w:r>
          <w:rPr>
            <w:rFonts w:ascii="Times New Roman" w:hAnsi="Times New Roman" w:cs="Times New Roman"/>
            <w:noProof/>
            <w:sz w:val="24"/>
            <w:szCs w:val="24"/>
          </w:rPr>
          <w:t>3</w:t>
        </w:r>
        <w:r w:rsidRPr="00126675">
          <w:rPr>
            <w:rFonts w:ascii="Times New Roman" w:hAnsi="Times New Roman" w:cs="Times New Roman"/>
            <w:noProof/>
            <w:sz w:val="24"/>
            <w:szCs w:val="24"/>
          </w:rPr>
          <w:fldChar w:fldCharType="end"/>
        </w:r>
      </w:sdtContent>
    </w:sdt>
  </w:p>
  <w:p w:rsidR="00126675" w:rsidRPr="00126675" w:rsidRDefault="0012667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675" w:rsidRPr="00126675" w:rsidRDefault="00126675">
    <w:pPr>
      <w:pStyle w:val="Header"/>
      <w:jc w:val="right"/>
      <w:rPr>
        <w:rFonts w:ascii="Times New Roman" w:hAnsi="Times New Roman" w:cs="Times New Roman"/>
        <w:sz w:val="24"/>
        <w:szCs w:val="24"/>
      </w:rPr>
    </w:pPr>
    <w:r w:rsidRPr="00126675">
      <w:rPr>
        <w:rFonts w:ascii="Times New Roman" w:hAnsi="Times New Roman" w:cs="Times New Roman"/>
        <w:sz w:val="24"/>
        <w:szCs w:val="24"/>
      </w:rPr>
      <w:t>Running Head: CHEVRON CASE</w:t>
    </w:r>
    <w:r w:rsidRPr="00126675">
      <w:rPr>
        <w:rFonts w:ascii="Times New Roman" w:hAnsi="Times New Roman" w:cs="Times New Roman"/>
        <w:sz w:val="24"/>
        <w:szCs w:val="24"/>
      </w:rPr>
      <w:tab/>
    </w:r>
    <w:r w:rsidRPr="00126675">
      <w:rPr>
        <w:rFonts w:ascii="Times New Roman" w:hAnsi="Times New Roman" w:cs="Times New Roman"/>
        <w:sz w:val="24"/>
        <w:szCs w:val="24"/>
      </w:rPr>
      <w:tab/>
    </w:r>
    <w:sdt>
      <w:sdtPr>
        <w:rPr>
          <w:rFonts w:ascii="Times New Roman" w:hAnsi="Times New Roman" w:cs="Times New Roman"/>
          <w:sz w:val="24"/>
          <w:szCs w:val="24"/>
        </w:rPr>
        <w:id w:val="-1994782014"/>
        <w:docPartObj>
          <w:docPartGallery w:val="Page Numbers (Top of Page)"/>
          <w:docPartUnique/>
        </w:docPartObj>
      </w:sdtPr>
      <w:sdtEndPr>
        <w:rPr>
          <w:noProof/>
        </w:rPr>
      </w:sdtEndPr>
      <w:sdtContent>
        <w:r w:rsidRPr="00126675">
          <w:rPr>
            <w:rFonts w:ascii="Times New Roman" w:hAnsi="Times New Roman" w:cs="Times New Roman"/>
            <w:sz w:val="24"/>
            <w:szCs w:val="24"/>
          </w:rPr>
          <w:fldChar w:fldCharType="begin"/>
        </w:r>
        <w:r w:rsidRPr="00126675">
          <w:rPr>
            <w:rFonts w:ascii="Times New Roman" w:hAnsi="Times New Roman" w:cs="Times New Roman"/>
            <w:sz w:val="24"/>
            <w:szCs w:val="24"/>
          </w:rPr>
          <w:instrText xml:space="preserve"> PAGE   \* MERGEFORMAT </w:instrText>
        </w:r>
        <w:r w:rsidRPr="00126675">
          <w:rPr>
            <w:rFonts w:ascii="Times New Roman" w:hAnsi="Times New Roman" w:cs="Times New Roman"/>
            <w:sz w:val="24"/>
            <w:szCs w:val="24"/>
          </w:rPr>
          <w:fldChar w:fldCharType="separate"/>
        </w:r>
        <w:r>
          <w:rPr>
            <w:rFonts w:ascii="Times New Roman" w:hAnsi="Times New Roman" w:cs="Times New Roman"/>
            <w:noProof/>
            <w:sz w:val="24"/>
            <w:szCs w:val="24"/>
          </w:rPr>
          <w:t>1</w:t>
        </w:r>
        <w:r w:rsidRPr="00126675">
          <w:rPr>
            <w:rFonts w:ascii="Times New Roman" w:hAnsi="Times New Roman" w:cs="Times New Roman"/>
            <w:noProof/>
            <w:sz w:val="24"/>
            <w:szCs w:val="24"/>
          </w:rPr>
          <w:fldChar w:fldCharType="end"/>
        </w:r>
      </w:sdtContent>
    </w:sdt>
  </w:p>
  <w:p w:rsidR="00126675" w:rsidRPr="00126675" w:rsidRDefault="0012667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8FA"/>
    <w:rsid w:val="00023088"/>
    <w:rsid w:val="000D0462"/>
    <w:rsid w:val="00126675"/>
    <w:rsid w:val="002335EB"/>
    <w:rsid w:val="00253114"/>
    <w:rsid w:val="008E2195"/>
    <w:rsid w:val="009175F8"/>
    <w:rsid w:val="00AA3C4F"/>
    <w:rsid w:val="00AF58FA"/>
    <w:rsid w:val="00B72B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1C51F3-12EE-41BA-B159-9D45EB5B7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675"/>
  </w:style>
  <w:style w:type="paragraph" w:styleId="Footer">
    <w:name w:val="footer"/>
    <w:basedOn w:val="Normal"/>
    <w:link w:val="FooterChar"/>
    <w:uiPriority w:val="99"/>
    <w:unhideWhenUsed/>
    <w:rsid w:val="00126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2018-09-09T09:02:00Z</dcterms:created>
  <dcterms:modified xsi:type="dcterms:W3CDTF">2018-09-09T09:02:00Z</dcterms:modified>
</cp:coreProperties>
</file>